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一、初次使用综保仪配置（默认参数）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1、综保仪通讯波特率 19200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2、综保仪通讯奇偶校验位：没有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3、综保仪通讯停止位：1位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4、综保仪通讯站址：255.255.255.001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5、PN模块默认参数状态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6、程序调整完毕后，如果有更改PN的IP地址，请参照手册内容修改。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二、可以采用文件夹中的PLC程序验证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可以使用PLC的范例、也可根据PROFINET手册进行操作。文件夹中有GSD文件。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PLC程序中读6种（拉绳、撕裂、跑偏、打滑、料流、堵料）胶带机保护的的例程，可以在PLC程序中寄存器看到返回的数据。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三、使用PLC程序运行后可以观察综保仪通讯指示灯的状态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文件中的视频是综保仪和PLC正常工作的指示灯状态，可以参照这个视频来确认是否工作正常.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四、例程为巢号地址分配说明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01号槽号地址分配为拉绳为地址1开始的报警地址  （综保仪寄存器地址为24624）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02号槽号地址分配为撕裂为地址1开始的报警地址  （综保仪寄存器地址为24688）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03号槽号地址分配为跑偏为地址1开始的报警地址  （综保仪寄存器地址为24752）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04号槽号地址分配为打滑为地址1开始的报警地址  （综保仪寄存器地址为24816）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05号槽号地址分配为料流为地址1开始的报警地址  （综保仪寄存器地址为24880）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06号槽号地址分配为堵料为地址1开始的报警地址  （综保仪寄存器地址为24944）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FF0000"/>
          <w:spacing w:val="0"/>
          <w:position w:val="0"/>
          <w:sz w:val="22"/>
          <w:shd w:fill="auto" w:val="clear"/>
        </w:rPr>
        <w:t xml:space="preserve">每个巢参数设置基本相同，注意起始地址变化内容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object w:dxaOrig="8640" w:dyaOrig="4860">
          <v:rect xmlns:o="urn:schemas-microsoft-com:office:office" xmlns:v="urn:schemas-microsoft-com:vml" id="rectole0000000000" style="width:432.000000pt;height:243.0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